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BE" w:rsidRPr="003964BE" w:rsidRDefault="003964BE" w:rsidP="003964BE">
      <w:pPr>
        <w:rPr>
          <w:rFonts w:ascii="Times New Roman" w:hAnsi="Times New Roman"/>
        </w:rPr>
      </w:pPr>
      <w:bookmarkStart w:id="0" w:name="_GoBack"/>
      <w:bookmarkEnd w:id="0"/>
      <w:r>
        <w:rPr>
          <w:rFonts w:ascii="Times New Roman" w:hAnsi="Times New Roman"/>
        </w:rPr>
        <w:t>La. R</w:t>
      </w:r>
      <w:r w:rsidRPr="003964BE">
        <w:rPr>
          <w:rFonts w:ascii="Times New Roman" w:hAnsi="Times New Roman"/>
        </w:rPr>
        <w:t>S 28:913.5      </w:t>
      </w:r>
      <w:r w:rsidRPr="003964BE">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2.5pt" o:ole="">
            <v:imagedata r:id="rId5" o:title=""/>
          </v:shape>
          <w:control r:id="rId6" w:name="DefaultOcxName" w:shapeid="_x0000_i1028"/>
        </w:object>
      </w:r>
    </w:p>
    <w:p w:rsidR="003964BE" w:rsidRPr="003964BE" w:rsidRDefault="003964BE" w:rsidP="003964BE">
      <w:pPr>
        <w:rPr>
          <w:rFonts w:ascii="Times New Roman" w:hAnsi="Times New Roman"/>
        </w:rPr>
      </w:pPr>
    </w:p>
    <w:p w:rsidR="003964BE" w:rsidRPr="003964BE" w:rsidRDefault="003964BE" w:rsidP="003964BE">
      <w:pPr>
        <w:rPr>
          <w:rFonts w:ascii="Times New Roman" w:hAnsi="Times New Roman"/>
        </w:rPr>
      </w:pPr>
      <w:r w:rsidRPr="003964BE">
        <w:rPr>
          <w:rFonts w:ascii="Times New Roman" w:hAnsi="Times New Roman"/>
          <w:noProof/>
        </w:rPr>
        <w:drawing>
          <wp:inline distT="0" distB="0" distL="0" distR="0">
            <wp:extent cx="219075" cy="209550"/>
            <wp:effectExtent l="0" t="0" r="9525" b="0"/>
            <wp:docPr id="1" name="Picture 1" descr="http://www.legis.la.gov/Legis/App_Themes/Legis/Images/print.gif">
              <a:hlinkClick xmlns:a="http://schemas.openxmlformats.org/drawingml/2006/main" r:id="rId7" tgtFrame="&quot;_blank&quot;" tooltip="&quot;Printable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la.gov/Legis/App_Themes/Legis/Images/print.gif">
                      <a:hlinkClick r:id="rId7" tgtFrame="&quot;_blank&quot;" tooltip="&quot;Printable Ver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964BE">
        <w:rPr>
          <w:rFonts w:ascii="Times New Roman" w:hAnsi="Times New Roman"/>
        </w:rPr>
        <w:t>   </w:t>
      </w:r>
    </w:p>
    <w:p w:rsidR="003964BE" w:rsidRPr="003964BE" w:rsidRDefault="003964BE" w:rsidP="003964BE">
      <w:pPr>
        <w:rPr>
          <w:rFonts w:ascii="Times New Roman" w:hAnsi="Times New Roman"/>
        </w:rPr>
      </w:pPr>
      <w:r w:rsidRPr="003964BE">
        <w:rPr>
          <w:rFonts w:ascii="Times New Roman" w:hAnsi="Times New Roman"/>
        </w:rPr>
        <w:t>§913.5. Governing board for Northeast Delta Human Services Authority; membership; appointment; terms</w:t>
      </w:r>
    </w:p>
    <w:p w:rsidR="003964BE" w:rsidRPr="003964BE" w:rsidRDefault="003964BE" w:rsidP="003964BE">
      <w:pPr>
        <w:rPr>
          <w:rFonts w:ascii="Times New Roman" w:hAnsi="Times New Roman"/>
        </w:rPr>
      </w:pPr>
      <w:r w:rsidRPr="003964BE">
        <w:rPr>
          <w:rFonts w:ascii="Times New Roman" w:hAnsi="Times New Roman"/>
        </w:rPr>
        <w:t>            A. The Northeast Delta Human Services Authority shall be governed by a board of seventeen members. The board shall include four residents from the parish of Ouachita; two residents each from the parishes of Morehouse and Lincoln; and one resident each from the parishes of Caldwell, East Carroll, Franklin, Jackson, Madison, Richland, Tensas, Union, and West Carroll.</w:t>
      </w:r>
    </w:p>
    <w:p w:rsidR="003964BE" w:rsidRPr="003964BE" w:rsidRDefault="003964BE" w:rsidP="003964BE">
      <w:pPr>
        <w:rPr>
          <w:rFonts w:ascii="Times New Roman" w:hAnsi="Times New Roman"/>
        </w:rPr>
      </w:pPr>
      <w:r w:rsidRPr="003964BE">
        <w:rPr>
          <w:rFonts w:ascii="Times New Roman" w:hAnsi="Times New Roman"/>
        </w:rPr>
        <w:t>            B. The members shall be appointed by the governing authority of each parish, with the exception of Ouachita Parish, in which they shall be appointed by the Ouachita Council of Government. All appointments shall require ratification by a plurality of the legislative delegation representing the twelve parishes which are included in the authority.</w:t>
      </w:r>
    </w:p>
    <w:p w:rsidR="003964BE" w:rsidRPr="003964BE" w:rsidRDefault="003964BE" w:rsidP="003964BE">
      <w:pPr>
        <w:rPr>
          <w:rFonts w:ascii="Times New Roman" w:hAnsi="Times New Roman"/>
        </w:rPr>
      </w:pPr>
      <w:r w:rsidRPr="003964BE">
        <w:rPr>
          <w:rFonts w:ascii="Times New Roman" w:hAnsi="Times New Roman"/>
        </w:rPr>
        <w:t>            C. The seventeen-member board shall be comprised as follows:</w:t>
      </w:r>
    </w:p>
    <w:p w:rsidR="003964BE" w:rsidRPr="003964BE" w:rsidRDefault="003964BE" w:rsidP="003964BE">
      <w:pPr>
        <w:rPr>
          <w:rFonts w:ascii="Times New Roman" w:hAnsi="Times New Roman"/>
        </w:rPr>
      </w:pPr>
      <w:r w:rsidRPr="003964BE">
        <w:rPr>
          <w:rFonts w:ascii="Times New Roman" w:hAnsi="Times New Roman"/>
        </w:rPr>
        <w:t>            (1) Two members with professional expertise in the field of mental health.</w:t>
      </w:r>
    </w:p>
    <w:p w:rsidR="003964BE" w:rsidRPr="003964BE" w:rsidRDefault="003964BE" w:rsidP="003964BE">
      <w:pPr>
        <w:rPr>
          <w:rFonts w:ascii="Times New Roman" w:hAnsi="Times New Roman"/>
        </w:rPr>
      </w:pPr>
      <w:r w:rsidRPr="003964BE">
        <w:rPr>
          <w:rFonts w:ascii="Times New Roman" w:hAnsi="Times New Roman"/>
        </w:rPr>
        <w:t>            (2) Two members with professional expertise in the field of addictive disorders.</w:t>
      </w:r>
    </w:p>
    <w:p w:rsidR="003964BE" w:rsidRPr="003964BE" w:rsidRDefault="003964BE" w:rsidP="003964BE">
      <w:pPr>
        <w:rPr>
          <w:rFonts w:ascii="Times New Roman" w:hAnsi="Times New Roman"/>
        </w:rPr>
      </w:pPr>
      <w:r w:rsidRPr="003964BE">
        <w:rPr>
          <w:rFonts w:ascii="Times New Roman" w:hAnsi="Times New Roman"/>
        </w:rPr>
        <w:t>            (3) Two members with professional expertise in the field of developmental disabilities.</w:t>
      </w:r>
    </w:p>
    <w:p w:rsidR="003964BE" w:rsidRPr="003964BE" w:rsidRDefault="003964BE" w:rsidP="003964BE">
      <w:pPr>
        <w:rPr>
          <w:rFonts w:ascii="Times New Roman" w:hAnsi="Times New Roman"/>
        </w:rPr>
      </w:pPr>
      <w:r w:rsidRPr="003964BE">
        <w:rPr>
          <w:rFonts w:ascii="Times New Roman" w:hAnsi="Times New Roman"/>
        </w:rPr>
        <w:t>            (4) One member with professional expertise in finance, accounting, business enterprise, or auditing.</w:t>
      </w:r>
    </w:p>
    <w:p w:rsidR="003964BE" w:rsidRPr="003964BE" w:rsidRDefault="003964BE" w:rsidP="003964BE">
      <w:pPr>
        <w:rPr>
          <w:rFonts w:ascii="Times New Roman" w:hAnsi="Times New Roman"/>
        </w:rPr>
      </w:pPr>
      <w:r w:rsidRPr="003964BE">
        <w:rPr>
          <w:rFonts w:ascii="Times New Roman" w:hAnsi="Times New Roman"/>
        </w:rPr>
        <w:t>            (5) One member who represents the judiciary, with particular emphasis on specialty courts.</w:t>
      </w:r>
    </w:p>
    <w:p w:rsidR="003964BE" w:rsidRPr="003964BE" w:rsidRDefault="003964BE" w:rsidP="003964BE">
      <w:pPr>
        <w:rPr>
          <w:rFonts w:ascii="Times New Roman" w:hAnsi="Times New Roman"/>
        </w:rPr>
      </w:pPr>
      <w:r w:rsidRPr="003964BE">
        <w:rPr>
          <w:rFonts w:ascii="Times New Roman" w:hAnsi="Times New Roman"/>
        </w:rPr>
        <w:t>            (6) Three members who represent law enforcement, school-based healthcare, public health, or the coroner's office based on the needs of the respective appointing parishes.</w:t>
      </w:r>
    </w:p>
    <w:p w:rsidR="003964BE" w:rsidRPr="003964BE" w:rsidRDefault="003964BE" w:rsidP="003964BE">
      <w:pPr>
        <w:rPr>
          <w:rFonts w:ascii="Times New Roman" w:hAnsi="Times New Roman"/>
        </w:rPr>
      </w:pPr>
      <w:r w:rsidRPr="003964BE">
        <w:rPr>
          <w:rFonts w:ascii="Times New Roman" w:hAnsi="Times New Roman"/>
        </w:rPr>
        <w:t>            (7) Two members who are parents, consumers, or advocates in the field of mental health.</w:t>
      </w:r>
    </w:p>
    <w:p w:rsidR="003964BE" w:rsidRPr="003964BE" w:rsidRDefault="003964BE" w:rsidP="003964BE">
      <w:pPr>
        <w:rPr>
          <w:rFonts w:ascii="Times New Roman" w:hAnsi="Times New Roman"/>
        </w:rPr>
      </w:pPr>
      <w:r w:rsidRPr="003964BE">
        <w:rPr>
          <w:rFonts w:ascii="Times New Roman" w:hAnsi="Times New Roman"/>
        </w:rPr>
        <w:t>            (8) Two members who are parents, consumers, or advocates in the field of addictive disorders.</w:t>
      </w:r>
    </w:p>
    <w:p w:rsidR="003964BE" w:rsidRPr="003964BE" w:rsidRDefault="003964BE" w:rsidP="003964BE">
      <w:pPr>
        <w:rPr>
          <w:rFonts w:ascii="Times New Roman" w:hAnsi="Times New Roman"/>
        </w:rPr>
      </w:pPr>
      <w:r w:rsidRPr="003964BE">
        <w:rPr>
          <w:rFonts w:ascii="Times New Roman" w:hAnsi="Times New Roman"/>
        </w:rPr>
        <w:t>            (9) Two members who are parents, consumers, or advocates in the field of developmental disabilities.</w:t>
      </w:r>
    </w:p>
    <w:p w:rsidR="003964BE" w:rsidRPr="003964BE" w:rsidRDefault="003964BE" w:rsidP="003964BE">
      <w:pPr>
        <w:rPr>
          <w:rFonts w:ascii="Times New Roman" w:hAnsi="Times New Roman"/>
        </w:rPr>
      </w:pPr>
      <w:r w:rsidRPr="003964BE">
        <w:rPr>
          <w:rFonts w:ascii="Times New Roman" w:hAnsi="Times New Roman"/>
        </w:rPr>
        <w:t>            D. Each member shall serve for a three-year term. No board member shall serve more than three consecutive three-year terms.</w:t>
      </w:r>
    </w:p>
    <w:p w:rsidR="003964BE" w:rsidRPr="003964BE" w:rsidRDefault="003964BE" w:rsidP="003964BE">
      <w:pPr>
        <w:rPr>
          <w:rFonts w:ascii="Times New Roman" w:hAnsi="Times New Roman"/>
        </w:rPr>
      </w:pPr>
      <w:r w:rsidRPr="003964BE">
        <w:rPr>
          <w:rFonts w:ascii="Times New Roman" w:hAnsi="Times New Roman"/>
        </w:rPr>
        <w:t>            E. Effective January 1, 2018, the board shall comply with the enumerated requirements of expertise in this Section. Any board member serving on the board prior to January 1, 2018, who satisfies at least one of the enumerated criteria shall be considered to have satisfied the requirement to serve and shall remain on the board for the duration of his unexpired term. Any board member who does not satisfy one of the enumerated criteria shall be replaced by January 1, 2018, and the newly appointed member shall begin a new three-year term. It shall be the responsibility of the executive director to ensure that the board satisfies the enumerated criteria herein. The executive director shall work with the local parish governmental authorities in the authority's statutory governance area to ensure compliance with the board requirements of this Section.</w:t>
      </w:r>
    </w:p>
    <w:p w:rsidR="003964BE" w:rsidRPr="003964BE" w:rsidRDefault="003964BE" w:rsidP="003964BE">
      <w:pPr>
        <w:rPr>
          <w:rFonts w:ascii="Times New Roman" w:hAnsi="Times New Roman"/>
        </w:rPr>
      </w:pPr>
      <w:r w:rsidRPr="003964BE">
        <w:rPr>
          <w:rFonts w:ascii="Times New Roman" w:hAnsi="Times New Roman"/>
        </w:rPr>
        <w:t>            Acts 2017, No. 73, §1, eff. June 7, 2017.</w:t>
      </w:r>
    </w:p>
    <w:p w:rsidR="004D5637" w:rsidRPr="00EE16E9" w:rsidRDefault="004D5637">
      <w:pPr>
        <w:rPr>
          <w:rFonts w:ascii="Times New Roman" w:hAnsi="Times New Roman"/>
        </w:rPr>
      </w:pPr>
    </w:p>
    <w:sectPr w:rsidR="004D5637" w:rsidRPr="00EE16E9" w:rsidSect="004D56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BE"/>
    <w:rsid w:val="003964BE"/>
    <w:rsid w:val="003C785D"/>
    <w:rsid w:val="004D5637"/>
    <w:rsid w:val="00A31C1E"/>
    <w:rsid w:val="00BC5EF5"/>
    <w:rsid w:val="00C37BC0"/>
    <w:rsid w:val="00D032E9"/>
    <w:rsid w:val="00EE16E9"/>
    <w:rsid w:val="00F9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32E9"/>
    <w:rPr>
      <w:rFonts w:ascii="Times New Roman" w:eastAsiaTheme="majorEastAsia" w:hAnsi="Times New Roman" w:cstheme="majorBidi"/>
    </w:rPr>
  </w:style>
  <w:style w:type="paragraph" w:styleId="EnvelopeAddress">
    <w:name w:val="envelope address"/>
    <w:basedOn w:val="Normal"/>
    <w:uiPriority w:val="99"/>
    <w:semiHidden/>
    <w:unhideWhenUsed/>
    <w:rsid w:val="00D032E9"/>
    <w:pPr>
      <w:framePr w:w="7920" w:h="1980" w:hRule="exact" w:hSpace="180" w:wrap="auto" w:hAnchor="page" w:xAlign="center" w:yAlign="bottom"/>
      <w:ind w:left="2880"/>
    </w:pPr>
    <w:rPr>
      <w:rFonts w:ascii="Times New Roman" w:eastAsiaTheme="majorEastAsia" w:hAnsi="Times New Roman" w:cstheme="majorBidi"/>
      <w:szCs w:val="24"/>
    </w:rPr>
  </w:style>
  <w:style w:type="paragraph" w:styleId="BalloonText">
    <w:name w:val="Balloon Text"/>
    <w:basedOn w:val="Normal"/>
    <w:link w:val="BalloonTextChar"/>
    <w:uiPriority w:val="99"/>
    <w:semiHidden/>
    <w:unhideWhenUsed/>
    <w:rsid w:val="00A31C1E"/>
    <w:rPr>
      <w:rFonts w:ascii="Tahoma" w:hAnsi="Tahoma" w:cs="Tahoma"/>
      <w:sz w:val="16"/>
      <w:szCs w:val="16"/>
    </w:rPr>
  </w:style>
  <w:style w:type="character" w:customStyle="1" w:styleId="BalloonTextChar">
    <w:name w:val="Balloon Text Char"/>
    <w:basedOn w:val="DefaultParagraphFont"/>
    <w:link w:val="BalloonText"/>
    <w:uiPriority w:val="99"/>
    <w:semiHidden/>
    <w:rsid w:val="00A31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32E9"/>
    <w:rPr>
      <w:rFonts w:ascii="Times New Roman" w:eastAsiaTheme="majorEastAsia" w:hAnsi="Times New Roman" w:cstheme="majorBidi"/>
    </w:rPr>
  </w:style>
  <w:style w:type="paragraph" w:styleId="EnvelopeAddress">
    <w:name w:val="envelope address"/>
    <w:basedOn w:val="Normal"/>
    <w:uiPriority w:val="99"/>
    <w:semiHidden/>
    <w:unhideWhenUsed/>
    <w:rsid w:val="00D032E9"/>
    <w:pPr>
      <w:framePr w:w="7920" w:h="1980" w:hRule="exact" w:hSpace="180" w:wrap="auto" w:hAnchor="page" w:xAlign="center" w:yAlign="bottom"/>
      <w:ind w:left="2880"/>
    </w:pPr>
    <w:rPr>
      <w:rFonts w:ascii="Times New Roman" w:eastAsiaTheme="majorEastAsia" w:hAnsi="Times New Roman" w:cstheme="majorBidi"/>
      <w:szCs w:val="24"/>
    </w:rPr>
  </w:style>
  <w:style w:type="paragraph" w:styleId="BalloonText">
    <w:name w:val="Balloon Text"/>
    <w:basedOn w:val="Normal"/>
    <w:link w:val="BalloonTextChar"/>
    <w:uiPriority w:val="99"/>
    <w:semiHidden/>
    <w:unhideWhenUsed/>
    <w:rsid w:val="00A31C1E"/>
    <w:rPr>
      <w:rFonts w:ascii="Tahoma" w:hAnsi="Tahoma" w:cs="Tahoma"/>
      <w:sz w:val="16"/>
      <w:szCs w:val="16"/>
    </w:rPr>
  </w:style>
  <w:style w:type="character" w:customStyle="1" w:styleId="BalloonTextChar">
    <w:name w:val="Balloon Text Char"/>
    <w:basedOn w:val="DefaultParagraphFont"/>
    <w:link w:val="BalloonText"/>
    <w:uiPriority w:val="99"/>
    <w:semiHidden/>
    <w:rsid w:val="00A3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3875">
      <w:bodyDiv w:val="1"/>
      <w:marLeft w:val="0"/>
      <w:marRight w:val="0"/>
      <w:marTop w:val="0"/>
      <w:marBottom w:val="0"/>
      <w:divBdr>
        <w:top w:val="none" w:sz="0" w:space="0" w:color="auto"/>
        <w:left w:val="none" w:sz="0" w:space="0" w:color="auto"/>
        <w:bottom w:val="none" w:sz="0" w:space="0" w:color="auto"/>
        <w:right w:val="none" w:sz="0" w:space="0" w:color="auto"/>
      </w:divBdr>
      <w:divsChild>
        <w:div w:id="1413552287">
          <w:marLeft w:val="0"/>
          <w:marRight w:val="2250"/>
          <w:marTop w:val="0"/>
          <w:marBottom w:val="0"/>
          <w:divBdr>
            <w:top w:val="none" w:sz="0" w:space="0" w:color="auto"/>
            <w:left w:val="none" w:sz="0" w:space="0" w:color="auto"/>
            <w:bottom w:val="none" w:sz="0" w:space="0" w:color="auto"/>
            <w:right w:val="none" w:sz="0" w:space="0" w:color="auto"/>
          </w:divBdr>
        </w:div>
        <w:div w:id="855311429">
          <w:marLeft w:val="0"/>
          <w:marRight w:val="0"/>
          <w:marTop w:val="0"/>
          <w:marBottom w:val="0"/>
          <w:divBdr>
            <w:top w:val="none" w:sz="0" w:space="0" w:color="auto"/>
            <w:left w:val="none" w:sz="0" w:space="0" w:color="auto"/>
            <w:bottom w:val="none" w:sz="0" w:space="0" w:color="auto"/>
            <w:right w:val="none" w:sz="0" w:space="0" w:color="auto"/>
          </w:divBdr>
          <w:divsChild>
            <w:div w:id="758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legis.la.gov/Legis/LawPrint.aspx?d=10567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Israel</dc:creator>
  <cp:lastModifiedBy>Delores Harris</cp:lastModifiedBy>
  <cp:revision>2</cp:revision>
  <dcterms:created xsi:type="dcterms:W3CDTF">2020-01-22T21:35:00Z</dcterms:created>
  <dcterms:modified xsi:type="dcterms:W3CDTF">2020-01-22T21:35:00Z</dcterms:modified>
</cp:coreProperties>
</file>